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532"/>
        <w:tblW w:w="10795" w:type="dxa"/>
        <w:tblLook w:val="04A0" w:firstRow="1" w:lastRow="0" w:firstColumn="1" w:lastColumn="0" w:noHBand="0" w:noVBand="1"/>
      </w:tblPr>
      <w:tblGrid>
        <w:gridCol w:w="4675"/>
        <w:gridCol w:w="6120"/>
      </w:tblGrid>
      <w:tr w:rsidR="000400A7" w14:paraId="2C774D9F" w14:textId="77777777" w:rsidTr="00002829">
        <w:trPr>
          <w:trHeight w:val="1520"/>
        </w:trPr>
        <w:tc>
          <w:tcPr>
            <w:tcW w:w="10795" w:type="dxa"/>
            <w:gridSpan w:val="2"/>
            <w:shd w:val="clear" w:color="auto" w:fill="009999"/>
            <w:vAlign w:val="center"/>
          </w:tcPr>
          <w:p w14:paraId="0B4F9E7B" w14:textId="070420BD" w:rsidR="00F6032E" w:rsidRDefault="009E61DA" w:rsidP="00A112C5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YOUTH and </w:t>
            </w:r>
            <w:r w:rsidR="000400A7" w:rsidRPr="000C06D9">
              <w:rPr>
                <w:b/>
                <w:color w:val="FFFFFF" w:themeColor="background1"/>
                <w:sz w:val="36"/>
                <w:szCs w:val="36"/>
              </w:rPr>
              <w:t>FAMILIES THRIVE</w:t>
            </w:r>
            <w:r w:rsidR="00F6032E" w:rsidRPr="000C06D9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</w:p>
          <w:p w14:paraId="1A0601A1" w14:textId="2DADF2B9" w:rsidR="00F92C1C" w:rsidRDefault="00F92C1C" w:rsidP="00A112C5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Nebraska</w:t>
            </w:r>
          </w:p>
          <w:p w14:paraId="05457C13" w14:textId="77777777" w:rsidR="003A2CD9" w:rsidRDefault="003A2CD9" w:rsidP="00A112C5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  <w:p w14:paraId="772CEAAE" w14:textId="21F0F875" w:rsidR="00571451" w:rsidRPr="000C06D9" w:rsidRDefault="00571451" w:rsidP="00A112C5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Pro</w:t>
            </w:r>
            <w:r w:rsidR="003A2CD9">
              <w:rPr>
                <w:b/>
                <w:color w:val="FFFFFF" w:themeColor="background1"/>
                <w:sz w:val="36"/>
                <w:szCs w:val="36"/>
              </w:rPr>
              <w:t>tective</w:t>
            </w:r>
            <w:r>
              <w:rPr>
                <w:b/>
                <w:color w:val="FFFFFF" w:themeColor="background1"/>
                <w:sz w:val="36"/>
                <w:szCs w:val="36"/>
              </w:rPr>
              <w:t xml:space="preserve"> and Pro</w:t>
            </w:r>
            <w:r w:rsidR="003A2CD9">
              <w:rPr>
                <w:b/>
                <w:color w:val="FFFFFF" w:themeColor="background1"/>
                <w:sz w:val="36"/>
                <w:szCs w:val="36"/>
              </w:rPr>
              <w:t>motive</w:t>
            </w:r>
            <w:r>
              <w:rPr>
                <w:b/>
                <w:color w:val="FFFFFF" w:themeColor="background1"/>
                <w:sz w:val="36"/>
                <w:szCs w:val="36"/>
              </w:rPr>
              <w:t xml:space="preserve"> Factors</w:t>
            </w:r>
          </w:p>
          <w:p w14:paraId="02A91AD7" w14:textId="7B28BBF8" w:rsidR="000400A7" w:rsidRPr="00E51FF1" w:rsidRDefault="000400A7" w:rsidP="00A112C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571451" w14:paraId="625408A7" w14:textId="77777777" w:rsidTr="00002829">
        <w:trPr>
          <w:trHeight w:val="254"/>
        </w:trPr>
        <w:tc>
          <w:tcPr>
            <w:tcW w:w="10795" w:type="dxa"/>
            <w:gridSpan w:val="2"/>
            <w:vAlign w:val="center"/>
          </w:tcPr>
          <w:p w14:paraId="67D7F161" w14:textId="4AE048F9" w:rsidR="00571451" w:rsidRPr="00817B49" w:rsidRDefault="00571451" w:rsidP="00A112C5">
            <w:pPr>
              <w:jc w:val="center"/>
              <w:rPr>
                <w:i/>
              </w:rPr>
            </w:pPr>
          </w:p>
        </w:tc>
      </w:tr>
      <w:tr w:rsidR="000400A7" w14:paraId="5FA34E7F" w14:textId="77777777" w:rsidTr="00002829">
        <w:trPr>
          <w:trHeight w:val="891"/>
        </w:trPr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4CDCD685" w14:textId="3EC6E587" w:rsidR="000400A7" w:rsidRPr="00E90671" w:rsidRDefault="000400A7" w:rsidP="00A112C5">
            <w:pPr>
              <w:jc w:val="center"/>
              <w:rPr>
                <w:b/>
                <w:i/>
                <w:color w:val="009999"/>
                <w:sz w:val="28"/>
                <w:szCs w:val="28"/>
              </w:rPr>
            </w:pPr>
            <w:r w:rsidRPr="00E90671">
              <w:rPr>
                <w:b/>
                <w:i/>
                <w:color w:val="009999"/>
                <w:sz w:val="28"/>
                <w:szCs w:val="28"/>
              </w:rPr>
              <w:t xml:space="preserve">Knowledge of Parenting and </w:t>
            </w:r>
            <w:r w:rsidRPr="00E90671">
              <w:rPr>
                <w:b/>
                <w:i/>
                <w:color w:val="009999"/>
                <w:sz w:val="28"/>
                <w:szCs w:val="28"/>
              </w:rPr>
              <w:br/>
              <w:t xml:space="preserve">Child </w:t>
            </w:r>
            <w:r w:rsidR="00571451">
              <w:rPr>
                <w:b/>
                <w:i/>
                <w:color w:val="009999"/>
                <w:sz w:val="28"/>
                <w:szCs w:val="28"/>
              </w:rPr>
              <w:t xml:space="preserve">and Adolescent </w:t>
            </w:r>
            <w:r w:rsidRPr="00E90671">
              <w:rPr>
                <w:b/>
                <w:i/>
                <w:color w:val="009999"/>
                <w:sz w:val="28"/>
                <w:szCs w:val="28"/>
              </w:rPr>
              <w:t>Development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51B2D4D" w14:textId="77777777" w:rsidR="00DD38D4" w:rsidRDefault="00DD38D4" w:rsidP="00A112C5">
            <w:pPr>
              <w:rPr>
                <w:i/>
                <w:iCs/>
              </w:rPr>
            </w:pPr>
          </w:p>
          <w:p w14:paraId="7F85FB06" w14:textId="202ACD85" w:rsidR="00571451" w:rsidRDefault="00571451" w:rsidP="00A112C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The ability to support nurturing attachments and have realistic expectations </w:t>
            </w:r>
            <w:proofErr w:type="gramStart"/>
            <w:r>
              <w:rPr>
                <w:i/>
                <w:iCs/>
              </w:rPr>
              <w:t>in order to</w:t>
            </w:r>
            <w:proofErr w:type="gramEnd"/>
            <w:r>
              <w:rPr>
                <w:i/>
                <w:iCs/>
              </w:rPr>
              <w:t xml:space="preserve"> effectively promote development in children and youth</w:t>
            </w:r>
            <w:r w:rsidR="00B0132A">
              <w:rPr>
                <w:i/>
                <w:iCs/>
              </w:rPr>
              <w:t>.</w:t>
            </w:r>
          </w:p>
          <w:p w14:paraId="4F1E7CB7" w14:textId="5A0150CF" w:rsidR="000400A7" w:rsidRPr="00E90671" w:rsidRDefault="000400A7" w:rsidP="00A112C5">
            <w:pPr>
              <w:jc w:val="center"/>
              <w:rPr>
                <w:b/>
                <w:i/>
                <w:color w:val="009999"/>
                <w:sz w:val="28"/>
                <w:szCs w:val="28"/>
              </w:rPr>
            </w:pPr>
          </w:p>
        </w:tc>
      </w:tr>
      <w:tr w:rsidR="000C06D9" w14:paraId="139602E3" w14:textId="77777777" w:rsidTr="00002829">
        <w:trPr>
          <w:trHeight w:val="531"/>
        </w:trPr>
        <w:tc>
          <w:tcPr>
            <w:tcW w:w="10795" w:type="dxa"/>
            <w:gridSpan w:val="2"/>
            <w:vAlign w:val="center"/>
          </w:tcPr>
          <w:p w14:paraId="69CDB497" w14:textId="447F5800" w:rsidR="000C06D9" w:rsidRPr="00A2638A" w:rsidRDefault="000C06D9" w:rsidP="00A112C5">
            <w:pPr>
              <w:rPr>
                <w:sz w:val="28"/>
                <w:szCs w:val="28"/>
              </w:rPr>
            </w:pPr>
          </w:p>
        </w:tc>
      </w:tr>
      <w:tr w:rsidR="000400A7" w14:paraId="3BFE99D3" w14:textId="77777777" w:rsidTr="00002829">
        <w:trPr>
          <w:trHeight w:val="981"/>
        </w:trPr>
        <w:tc>
          <w:tcPr>
            <w:tcW w:w="4675" w:type="dxa"/>
            <w:vAlign w:val="center"/>
          </w:tcPr>
          <w:p w14:paraId="17074C0F" w14:textId="0299FEB2" w:rsidR="000400A7" w:rsidRPr="00E90671" w:rsidRDefault="000400A7" w:rsidP="00A112C5">
            <w:pPr>
              <w:jc w:val="center"/>
              <w:rPr>
                <w:b/>
                <w:i/>
                <w:color w:val="009999"/>
                <w:sz w:val="28"/>
                <w:szCs w:val="28"/>
              </w:rPr>
            </w:pPr>
            <w:r w:rsidRPr="00E90671">
              <w:rPr>
                <w:b/>
                <w:i/>
                <w:color w:val="009999"/>
                <w:sz w:val="28"/>
                <w:szCs w:val="28"/>
              </w:rPr>
              <w:t xml:space="preserve">Social-Emotional Competence </w:t>
            </w:r>
            <w:r w:rsidRPr="00E90671">
              <w:rPr>
                <w:b/>
                <w:i/>
                <w:color w:val="009999"/>
                <w:sz w:val="28"/>
                <w:szCs w:val="28"/>
              </w:rPr>
              <w:br/>
            </w:r>
          </w:p>
        </w:tc>
        <w:tc>
          <w:tcPr>
            <w:tcW w:w="6120" w:type="dxa"/>
            <w:vAlign w:val="center"/>
          </w:tcPr>
          <w:p w14:paraId="5549A041" w14:textId="77777777" w:rsidR="00DD38D4" w:rsidRDefault="00DD38D4" w:rsidP="005D3871">
            <w:pPr>
              <w:rPr>
                <w:i/>
                <w:iCs/>
              </w:rPr>
            </w:pPr>
          </w:p>
          <w:p w14:paraId="0D1A13F4" w14:textId="729A8B6C" w:rsidR="000400A7" w:rsidRDefault="005D3871" w:rsidP="005D3871">
            <w:pPr>
              <w:rPr>
                <w:i/>
                <w:iCs/>
              </w:rPr>
            </w:pPr>
            <w:r w:rsidRPr="005D3871">
              <w:rPr>
                <w:i/>
                <w:iCs/>
              </w:rPr>
              <w:t>The ability to recognize and regulate one</w:t>
            </w:r>
            <w:r w:rsidR="00AA7A29">
              <w:rPr>
                <w:i/>
                <w:iCs/>
              </w:rPr>
              <w:t>’</w:t>
            </w:r>
            <w:r w:rsidRPr="005D3871">
              <w:rPr>
                <w:i/>
                <w:iCs/>
              </w:rPr>
              <w:t>s emotions and behavior, the ability to recognize and respect the feelings and needs of others</w:t>
            </w:r>
            <w:r w:rsidR="00B0132A">
              <w:rPr>
                <w:i/>
                <w:iCs/>
              </w:rPr>
              <w:t>,</w:t>
            </w:r>
            <w:r w:rsidRPr="005D3871">
              <w:rPr>
                <w:i/>
                <w:iCs/>
              </w:rPr>
              <w:t xml:space="preserve"> and the ability to balance and communicate about these matters </w:t>
            </w:r>
            <w:r w:rsidR="00DD38D4" w:rsidRPr="005D3871">
              <w:rPr>
                <w:i/>
                <w:iCs/>
              </w:rPr>
              <w:t>to</w:t>
            </w:r>
            <w:r w:rsidRPr="005D3871">
              <w:rPr>
                <w:i/>
                <w:iCs/>
              </w:rPr>
              <w:t xml:space="preserve"> promote healthy relationships with family, friends, in the workplace</w:t>
            </w:r>
            <w:r w:rsidR="00B0132A">
              <w:rPr>
                <w:i/>
                <w:iCs/>
              </w:rPr>
              <w:t>,</w:t>
            </w:r>
            <w:r w:rsidRPr="005D3871">
              <w:rPr>
                <w:i/>
                <w:iCs/>
              </w:rPr>
              <w:t xml:space="preserve"> and in your </w:t>
            </w:r>
            <w:r w:rsidR="00DD38D4" w:rsidRPr="005D3871">
              <w:rPr>
                <w:i/>
                <w:iCs/>
              </w:rPr>
              <w:t>community.</w:t>
            </w:r>
          </w:p>
          <w:p w14:paraId="560FECDC" w14:textId="13A3C71B" w:rsidR="00DD38D4" w:rsidRPr="005D3871" w:rsidRDefault="00DD38D4" w:rsidP="005D3871">
            <w:pPr>
              <w:rPr>
                <w:b/>
                <w:i/>
                <w:iCs/>
                <w:color w:val="009999"/>
                <w:sz w:val="28"/>
                <w:szCs w:val="28"/>
              </w:rPr>
            </w:pPr>
          </w:p>
        </w:tc>
      </w:tr>
      <w:tr w:rsidR="00C035E1" w14:paraId="369213C1" w14:textId="77777777" w:rsidTr="00002829">
        <w:trPr>
          <w:trHeight w:val="353"/>
        </w:trPr>
        <w:tc>
          <w:tcPr>
            <w:tcW w:w="10795" w:type="dxa"/>
            <w:gridSpan w:val="2"/>
            <w:vAlign w:val="center"/>
          </w:tcPr>
          <w:p w14:paraId="4AFF133E" w14:textId="3C81E3D6" w:rsidR="00C035E1" w:rsidRPr="000C06D9" w:rsidRDefault="00C035E1" w:rsidP="00A112C5">
            <w:pPr>
              <w:jc w:val="both"/>
              <w:rPr>
                <w:i/>
              </w:rPr>
            </w:pPr>
          </w:p>
        </w:tc>
      </w:tr>
      <w:tr w:rsidR="000400A7" w14:paraId="6F9DC90D" w14:textId="77777777" w:rsidTr="00002829">
        <w:trPr>
          <w:trHeight w:val="797"/>
        </w:trPr>
        <w:tc>
          <w:tcPr>
            <w:tcW w:w="4675" w:type="dxa"/>
            <w:vAlign w:val="center"/>
          </w:tcPr>
          <w:p w14:paraId="31600EB1" w14:textId="5D0D3498" w:rsidR="000400A7" w:rsidRPr="00E90671" w:rsidRDefault="000400A7" w:rsidP="00A112C5">
            <w:pPr>
              <w:jc w:val="center"/>
              <w:rPr>
                <w:b/>
                <w:i/>
                <w:color w:val="009999"/>
                <w:sz w:val="28"/>
                <w:szCs w:val="28"/>
              </w:rPr>
            </w:pPr>
            <w:r w:rsidRPr="00E90671">
              <w:rPr>
                <w:b/>
                <w:i/>
                <w:color w:val="009999"/>
                <w:sz w:val="28"/>
                <w:szCs w:val="28"/>
              </w:rPr>
              <w:t>Resilience</w:t>
            </w:r>
          </w:p>
        </w:tc>
        <w:tc>
          <w:tcPr>
            <w:tcW w:w="6120" w:type="dxa"/>
            <w:vAlign w:val="center"/>
          </w:tcPr>
          <w:p w14:paraId="4D206A60" w14:textId="2361CBCC" w:rsidR="000400A7" w:rsidRPr="00E90671" w:rsidRDefault="00A112C5" w:rsidP="005D3871">
            <w:pPr>
              <w:rPr>
                <w:b/>
                <w:i/>
                <w:color w:val="009999"/>
                <w:sz w:val="28"/>
                <w:szCs w:val="28"/>
              </w:rPr>
            </w:pPr>
            <w:r>
              <w:rPr>
                <w:i/>
              </w:rPr>
              <w:t>The ability to recover from difficult life experiences and often to be strengthened and even transformed by those experiences</w:t>
            </w:r>
            <w:r w:rsidR="00B0132A">
              <w:rPr>
                <w:i/>
              </w:rPr>
              <w:t>.</w:t>
            </w:r>
          </w:p>
        </w:tc>
      </w:tr>
      <w:tr w:rsidR="00C035E1" w14:paraId="25DC0BA0" w14:textId="77777777" w:rsidTr="00002829">
        <w:trPr>
          <w:trHeight w:val="83"/>
        </w:trPr>
        <w:tc>
          <w:tcPr>
            <w:tcW w:w="10795" w:type="dxa"/>
            <w:gridSpan w:val="2"/>
            <w:vAlign w:val="center"/>
          </w:tcPr>
          <w:p w14:paraId="28A039F4" w14:textId="5BFBBE5F" w:rsidR="00C035E1" w:rsidRPr="000C06D9" w:rsidRDefault="00C035E1" w:rsidP="00A112C5">
            <w:pPr>
              <w:rPr>
                <w:i/>
              </w:rPr>
            </w:pPr>
          </w:p>
        </w:tc>
      </w:tr>
      <w:tr w:rsidR="000400A7" w14:paraId="4D392928" w14:textId="77777777" w:rsidTr="00002829">
        <w:trPr>
          <w:trHeight w:val="725"/>
        </w:trPr>
        <w:tc>
          <w:tcPr>
            <w:tcW w:w="4675" w:type="dxa"/>
            <w:vAlign w:val="center"/>
          </w:tcPr>
          <w:p w14:paraId="1336F24F" w14:textId="77777777" w:rsidR="000400A7" w:rsidRPr="00E90671" w:rsidRDefault="000400A7" w:rsidP="00A112C5">
            <w:pPr>
              <w:jc w:val="center"/>
              <w:rPr>
                <w:b/>
                <w:i/>
                <w:color w:val="009999"/>
                <w:sz w:val="28"/>
                <w:szCs w:val="28"/>
              </w:rPr>
            </w:pPr>
            <w:r w:rsidRPr="00E90671">
              <w:rPr>
                <w:b/>
                <w:i/>
                <w:color w:val="009999"/>
                <w:sz w:val="28"/>
                <w:szCs w:val="28"/>
              </w:rPr>
              <w:t>Social Connections</w:t>
            </w:r>
          </w:p>
        </w:tc>
        <w:tc>
          <w:tcPr>
            <w:tcW w:w="6120" w:type="dxa"/>
            <w:vAlign w:val="center"/>
          </w:tcPr>
          <w:p w14:paraId="3DFA7A78" w14:textId="79D40F85" w:rsidR="000400A7" w:rsidRPr="00E90671" w:rsidRDefault="00A112C5" w:rsidP="005D3871">
            <w:pPr>
              <w:rPr>
                <w:b/>
                <w:i/>
                <w:color w:val="009999"/>
                <w:sz w:val="28"/>
                <w:szCs w:val="28"/>
              </w:rPr>
            </w:pPr>
            <w:r>
              <w:rPr>
                <w:i/>
              </w:rPr>
              <w:t>The ability and opportunity to develop positive relationships that lessen stress and isolation and become a supportive network</w:t>
            </w:r>
            <w:r w:rsidR="00B0132A">
              <w:rPr>
                <w:i/>
              </w:rPr>
              <w:t>.</w:t>
            </w:r>
          </w:p>
        </w:tc>
      </w:tr>
      <w:tr w:rsidR="00C035E1" w14:paraId="40022BAB" w14:textId="77777777" w:rsidTr="00002829">
        <w:trPr>
          <w:trHeight w:val="245"/>
        </w:trPr>
        <w:tc>
          <w:tcPr>
            <w:tcW w:w="10795" w:type="dxa"/>
            <w:gridSpan w:val="2"/>
            <w:vAlign w:val="center"/>
          </w:tcPr>
          <w:p w14:paraId="72158E54" w14:textId="19C1C70E" w:rsidR="00C035E1" w:rsidRPr="000C06D9" w:rsidRDefault="00C035E1" w:rsidP="00A112C5">
            <w:pPr>
              <w:rPr>
                <w:i/>
              </w:rPr>
            </w:pPr>
          </w:p>
        </w:tc>
      </w:tr>
      <w:tr w:rsidR="000400A7" w14:paraId="7F71ED6E" w14:textId="77777777" w:rsidTr="00002829">
        <w:trPr>
          <w:trHeight w:val="797"/>
        </w:trPr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24ECBC06" w14:textId="332F17CF" w:rsidR="000400A7" w:rsidRPr="00E90671" w:rsidRDefault="000400A7" w:rsidP="00A112C5">
            <w:pPr>
              <w:jc w:val="center"/>
              <w:rPr>
                <w:b/>
                <w:i/>
                <w:color w:val="009999"/>
                <w:sz w:val="28"/>
                <w:szCs w:val="28"/>
              </w:rPr>
            </w:pPr>
            <w:r w:rsidRPr="00E90671">
              <w:rPr>
                <w:b/>
                <w:i/>
                <w:color w:val="009999"/>
                <w:sz w:val="28"/>
                <w:szCs w:val="28"/>
              </w:rPr>
              <w:t>Concrete Support</w:t>
            </w:r>
            <w:r w:rsidR="00F6032E" w:rsidRPr="00E90671">
              <w:rPr>
                <w:b/>
                <w:i/>
                <w:color w:val="009999"/>
                <w:sz w:val="28"/>
                <w:szCs w:val="28"/>
              </w:rPr>
              <w:t>s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F4CA791" w14:textId="77777777" w:rsidR="00DD38D4" w:rsidRDefault="00DD38D4" w:rsidP="005D3871">
            <w:pPr>
              <w:rPr>
                <w:i/>
              </w:rPr>
            </w:pPr>
          </w:p>
          <w:p w14:paraId="03D0E117" w14:textId="0495BBA7" w:rsidR="000400A7" w:rsidRDefault="00A95A86" w:rsidP="005D3871">
            <w:pPr>
              <w:rPr>
                <w:i/>
              </w:rPr>
            </w:pPr>
            <w:r>
              <w:rPr>
                <w:i/>
              </w:rPr>
              <w:t>The ability to access resources and services that help make children, youth</w:t>
            </w:r>
            <w:r w:rsidR="00B0132A">
              <w:rPr>
                <w:i/>
              </w:rPr>
              <w:t>,</w:t>
            </w:r>
            <w:r>
              <w:rPr>
                <w:i/>
              </w:rPr>
              <w:t xml:space="preserve"> and families</w:t>
            </w:r>
            <w:r w:rsidR="00FC1DF3">
              <w:rPr>
                <w:i/>
              </w:rPr>
              <w:t xml:space="preserve"> stronger and more resourceful for themselves and other.</w:t>
            </w:r>
          </w:p>
          <w:p w14:paraId="28F5F983" w14:textId="3C7C3382" w:rsidR="00DD38D4" w:rsidRPr="00E90671" w:rsidRDefault="00DD38D4" w:rsidP="005D3871">
            <w:pPr>
              <w:rPr>
                <w:b/>
                <w:i/>
                <w:color w:val="009999"/>
                <w:sz w:val="28"/>
                <w:szCs w:val="28"/>
              </w:rPr>
            </w:pPr>
          </w:p>
        </w:tc>
      </w:tr>
      <w:tr w:rsidR="000400A7" w14:paraId="51DCFDC3" w14:textId="77777777" w:rsidTr="00002829">
        <w:trPr>
          <w:trHeight w:val="1007"/>
        </w:trPr>
        <w:tc>
          <w:tcPr>
            <w:tcW w:w="10795" w:type="dxa"/>
            <w:gridSpan w:val="2"/>
            <w:shd w:val="clear" w:color="auto" w:fill="009999"/>
            <w:vAlign w:val="center"/>
          </w:tcPr>
          <w:p w14:paraId="31C472F3" w14:textId="7F57E12E" w:rsidR="00A55345" w:rsidRDefault="000400A7" w:rsidP="00A55345">
            <w:pPr>
              <w:pStyle w:val="Default"/>
              <w:rPr>
                <w:i/>
                <w:color w:val="FFFFFF" w:themeColor="background1"/>
              </w:rPr>
            </w:pPr>
            <w:r w:rsidRPr="000C06D9">
              <w:rPr>
                <w:i/>
                <w:color w:val="FFFFFF" w:themeColor="background1"/>
              </w:rPr>
              <w:t xml:space="preserve"> </w:t>
            </w:r>
          </w:p>
          <w:p w14:paraId="696699E5" w14:textId="77777777" w:rsidR="00DD38D4" w:rsidRDefault="00DD38D4" w:rsidP="00A5534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79"/>
            </w:tblGrid>
            <w:tr w:rsidR="00A55345" w14:paraId="3BFF9388" w14:textId="77777777">
              <w:trPr>
                <w:trHeight w:val="266"/>
              </w:trPr>
              <w:tc>
                <w:tcPr>
                  <w:tcW w:w="0" w:type="auto"/>
                </w:tcPr>
                <w:p w14:paraId="734BBF87" w14:textId="24334403" w:rsidR="00A55345" w:rsidRPr="005D33A6" w:rsidRDefault="00A55345" w:rsidP="00B92430">
                  <w:pPr>
                    <w:pStyle w:val="Default"/>
                    <w:framePr w:hSpace="180" w:wrap="around" w:vAnchor="text" w:hAnchor="margin" w:xAlign="center" w:y="532"/>
                    <w:rPr>
                      <w:color w:val="FFFFFF" w:themeColor="background1"/>
                      <w:sz w:val="23"/>
                      <w:szCs w:val="23"/>
                    </w:rPr>
                  </w:pPr>
                  <w:r w:rsidRPr="00F634E0">
                    <w:rPr>
                      <w:color w:val="FFFFFF" w:themeColor="background1"/>
                    </w:rPr>
                    <w:t xml:space="preserve"> </w:t>
                  </w:r>
                  <w:r w:rsidRPr="00F634E0">
                    <w:rPr>
                      <w:i/>
                      <w:iCs/>
                      <w:color w:val="FFFFFF" w:themeColor="background1"/>
                      <w:sz w:val="23"/>
                      <w:szCs w:val="23"/>
                    </w:rPr>
                    <w:t>Taken together, these factors increase the probability of positive, adaptive</w:t>
                  </w:r>
                  <w:r w:rsidR="00B0132A">
                    <w:rPr>
                      <w:i/>
                      <w:iCs/>
                      <w:color w:val="FFFFFF" w:themeColor="background1"/>
                      <w:sz w:val="23"/>
                      <w:szCs w:val="23"/>
                    </w:rPr>
                    <w:t>,</w:t>
                  </w:r>
                  <w:r w:rsidRPr="00F634E0">
                    <w:rPr>
                      <w:i/>
                      <w:iCs/>
                      <w:color w:val="FFFFFF" w:themeColor="background1"/>
                      <w:sz w:val="23"/>
                      <w:szCs w:val="23"/>
                    </w:rPr>
                    <w:t xml:space="preserve"> and healthy outcome</w:t>
                  </w:r>
                  <w:r w:rsidR="00B0132A">
                    <w:rPr>
                      <w:i/>
                      <w:iCs/>
                      <w:color w:val="FFFFFF" w:themeColor="background1"/>
                      <w:sz w:val="23"/>
                      <w:szCs w:val="23"/>
                    </w:rPr>
                    <w:t>s</w:t>
                  </w:r>
                  <w:r w:rsidRPr="00F634E0">
                    <w:rPr>
                      <w:i/>
                      <w:iCs/>
                      <w:color w:val="FFFFFF" w:themeColor="background1"/>
                      <w:sz w:val="23"/>
                      <w:szCs w:val="23"/>
                    </w:rPr>
                    <w:t xml:space="preserve"> across the developmental continuum, even in the face of risk and adversity. </w:t>
                  </w:r>
                </w:p>
              </w:tc>
            </w:tr>
          </w:tbl>
          <w:p w14:paraId="6015FE3E" w14:textId="56CB9B0D" w:rsidR="000400A7" w:rsidRDefault="000400A7" w:rsidP="00A112C5">
            <w:pPr>
              <w:rPr>
                <w:i/>
                <w:color w:val="FFFFFF" w:themeColor="background1"/>
                <w:sz w:val="24"/>
                <w:szCs w:val="24"/>
              </w:rPr>
            </w:pPr>
          </w:p>
          <w:p w14:paraId="50AE82CE" w14:textId="1A3E38CE" w:rsidR="004177FB" w:rsidRPr="00043143" w:rsidRDefault="004177FB" w:rsidP="00A112C5">
            <w:pPr>
              <w:rPr>
                <w:i/>
                <w:sz w:val="24"/>
                <w:szCs w:val="24"/>
              </w:rPr>
            </w:pPr>
          </w:p>
        </w:tc>
      </w:tr>
    </w:tbl>
    <w:p w14:paraId="0624F703" w14:textId="0CB1BD8F" w:rsidR="00817B49" w:rsidRPr="00817B49" w:rsidRDefault="00817B49" w:rsidP="00A2638A">
      <w:pPr>
        <w:rPr>
          <w:i/>
          <w:sz w:val="28"/>
          <w:szCs w:val="28"/>
        </w:rPr>
      </w:pPr>
    </w:p>
    <w:sectPr w:rsidR="00817B49" w:rsidRPr="00817B49" w:rsidSect="0000282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DC68C" w14:textId="77777777" w:rsidR="008B48AC" w:rsidRDefault="008B48AC" w:rsidP="00E51FF1">
      <w:pPr>
        <w:spacing w:after="0" w:line="240" w:lineRule="auto"/>
      </w:pPr>
      <w:r>
        <w:separator/>
      </w:r>
    </w:p>
  </w:endnote>
  <w:endnote w:type="continuationSeparator" w:id="0">
    <w:p w14:paraId="666704D5" w14:textId="77777777" w:rsidR="008B48AC" w:rsidRDefault="008B48AC" w:rsidP="00E5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999C" w14:textId="337B5D3D" w:rsidR="00163DDD" w:rsidRDefault="00002829">
    <w:pPr>
      <w:pStyle w:val="Footer"/>
    </w:pPr>
    <w:r>
      <w:t>01.15.21</w:t>
    </w:r>
    <w:r w:rsidR="009E61DA">
      <w:t>; The Youth and Families Thrive Nebraska Framework is an integration of CSSP’s Strengthening Families</w:t>
    </w:r>
    <w:r w:rsidR="00A04A4D">
      <w:rPr>
        <w:rFonts w:cstheme="minorHAnsi"/>
      </w:rPr>
      <w:t>™</w:t>
    </w:r>
    <w:r w:rsidR="009E61DA">
      <w:t xml:space="preserve"> and Youth Thrive</w:t>
    </w:r>
    <w:r w:rsidR="00A04A4D">
      <w:rPr>
        <w:rFonts w:cstheme="minorHAnsi"/>
      </w:rPr>
      <w:t>™</w:t>
    </w:r>
    <w:r w:rsidR="0057145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99816" w14:textId="77777777" w:rsidR="008B48AC" w:rsidRDefault="008B48AC" w:rsidP="00E51FF1">
      <w:pPr>
        <w:spacing w:after="0" w:line="240" w:lineRule="auto"/>
      </w:pPr>
      <w:r>
        <w:separator/>
      </w:r>
    </w:p>
  </w:footnote>
  <w:footnote w:type="continuationSeparator" w:id="0">
    <w:p w14:paraId="5BFBFD41" w14:textId="77777777" w:rsidR="008B48AC" w:rsidRDefault="008B48AC" w:rsidP="00E51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8A"/>
    <w:rsid w:val="00002829"/>
    <w:rsid w:val="000400A7"/>
    <w:rsid w:val="00043143"/>
    <w:rsid w:val="000C06D9"/>
    <w:rsid w:val="000D5A3C"/>
    <w:rsid w:val="00140E21"/>
    <w:rsid w:val="00163DDD"/>
    <w:rsid w:val="002D4151"/>
    <w:rsid w:val="003A2CD9"/>
    <w:rsid w:val="004177FB"/>
    <w:rsid w:val="004856EF"/>
    <w:rsid w:val="00571451"/>
    <w:rsid w:val="005A3E32"/>
    <w:rsid w:val="005B45E7"/>
    <w:rsid w:val="005D33A6"/>
    <w:rsid w:val="005D3871"/>
    <w:rsid w:val="006C0A50"/>
    <w:rsid w:val="00813D06"/>
    <w:rsid w:val="00817B49"/>
    <w:rsid w:val="008B48AC"/>
    <w:rsid w:val="009E61DA"/>
    <w:rsid w:val="00A04A4D"/>
    <w:rsid w:val="00A112C5"/>
    <w:rsid w:val="00A2638A"/>
    <w:rsid w:val="00A55345"/>
    <w:rsid w:val="00A845C9"/>
    <w:rsid w:val="00A95A86"/>
    <w:rsid w:val="00AA7A29"/>
    <w:rsid w:val="00B0132A"/>
    <w:rsid w:val="00B14798"/>
    <w:rsid w:val="00B92430"/>
    <w:rsid w:val="00BA6156"/>
    <w:rsid w:val="00C035E1"/>
    <w:rsid w:val="00C513F6"/>
    <w:rsid w:val="00C7742B"/>
    <w:rsid w:val="00C86C2C"/>
    <w:rsid w:val="00DD38D4"/>
    <w:rsid w:val="00E51FF1"/>
    <w:rsid w:val="00E90671"/>
    <w:rsid w:val="00F21000"/>
    <w:rsid w:val="00F6032E"/>
    <w:rsid w:val="00F634E0"/>
    <w:rsid w:val="00F92C1C"/>
    <w:rsid w:val="00FC1DF3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0847B1"/>
  <w15:chartTrackingRefBased/>
  <w15:docId w15:val="{9279784D-41C5-4ACB-B177-540040C4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F1"/>
  </w:style>
  <w:style w:type="paragraph" w:styleId="Footer">
    <w:name w:val="footer"/>
    <w:basedOn w:val="Normal"/>
    <w:link w:val="FooterChar"/>
    <w:uiPriority w:val="99"/>
    <w:unhideWhenUsed/>
    <w:rsid w:val="00E5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F1"/>
  </w:style>
  <w:style w:type="paragraph" w:customStyle="1" w:styleId="Default">
    <w:name w:val="Default"/>
    <w:rsid w:val="00A553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5E9C3BBBD214CB9856BF6F1741718" ma:contentTypeVersion="4" ma:contentTypeDescription="Create a new document." ma:contentTypeScope="" ma:versionID="33137a534df6762a2651d5e5a54aea29">
  <xsd:schema xmlns:xsd="http://www.w3.org/2001/XMLSchema" xmlns:xs="http://www.w3.org/2001/XMLSchema" xmlns:p="http://schemas.microsoft.com/office/2006/metadata/properties" xmlns:ns3="46a2644f-f48e-4ea3-978f-a5dc15c221fe" targetNamespace="http://schemas.microsoft.com/office/2006/metadata/properties" ma:root="true" ma:fieldsID="a87e259b5642a294374cfb056529a6b7" ns3:_="">
    <xsd:import namespace="46a2644f-f48e-4ea3-978f-a5dc15c221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644f-f48e-4ea3-978f-a5dc15c22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366DA-48FA-4773-80BB-B7310B90D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F313D-5ED5-48CA-BB2C-AE2B35279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F6D2E-F651-4810-AD0E-AF6EE66A2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644f-f48e-4ea3-978f-a5dc15c22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Stokes</dc:creator>
  <cp:keywords/>
  <dc:description/>
  <cp:lastModifiedBy>Kenzie Rouw</cp:lastModifiedBy>
  <cp:revision>2</cp:revision>
  <dcterms:created xsi:type="dcterms:W3CDTF">2021-04-12T18:42:00Z</dcterms:created>
  <dcterms:modified xsi:type="dcterms:W3CDTF">2021-04-12T18:42:00Z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0x010100A3E5E9C3BBBD214CB9856BF6F1741718</vt:lpwstr>
  </property>
</Properties>
</file>